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10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24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复习第8～10课课文，背诵小节，识记生字词</w:t>
            </w:r>
          </w:p>
          <w:p>
            <w:pPr>
              <w:spacing w:line="360" w:lineRule="auto"/>
            </w:pPr>
            <w:r>
              <w:t xml:space="preserve">预习第11课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</w:pPr>
            <w:r>
              <w:t xml:space="preserve">复习小练习几倍。</w:t>
            </w:r>
          </w:p>
          <w:p>
            <w:pPr>
              <w:ind/>
              <w:numPr>
                <w:ilvl w:val="0"/>
                <w:numId w:val="1"/>
              </w:numPr>
            </w:pPr>
            <w:r>
              <w:t xml:space="preserve">顺背、倒背、抽背7的口诀，明天学习。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1. 书空字母Kk kite Ll lion</w:t>
            </w:r>
          </w:p>
          <w:p>
            <w:r>
              <w:t xml:space="preserve">2. 朗读M2U3单词&amp;课文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有感情地背诵第10课《日月潭》。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书空第10课词语。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预习11《葡萄沟》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1、复习小练习几倍。</w:t>
            </w:r>
          </w:p>
          <w:p>
            <w:pPr>
              <w:ind/>
            </w:pPr>
            <w:r>
              <w:t xml:space="preserve">2、顺背、倒背、抽背7的口诀，明天学习。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1. 书空字母Kk kite Ll lion</w:t>
            </w:r>
          </w:p>
          <w:p>
            <w:r>
              <w:t xml:space="preserve">2. 朗读M2U3单词&amp;课文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pStyle w:val="5"/>
              <w:widowControl w:val="1"/>
              <w:keepLines w:val="0"/>
              <w:keepNext w:val="0"/>
              <w:ind/>
              <w:spacing w:before="0" w:beforeAutoSpacing="0" w:after="0" w:afterAutoSpacing="0" w:line="240" w:lineRule="auto"/>
              <w:jc w:val="left"/>
              <w:rPr>
                <w:rFonts w:eastAsiaTheme="minorEastAsia" w:hint="eastAsia"/>
              </w:rPr>
            </w:pPr>
            <w:r>
              <w:t xml:space="preserve">自默第4-7课词语表+补充词语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复习几倍的练习卷</w:t>
            </w:r>
          </w:p>
          <w:p>
            <w:pPr/>
            <w:r>
              <w:t xml:space="preserve">今天的练习卷签名并订正错题在本子上。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读背课文和单词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说话《做手工》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复习几倍的练习卷</w:t>
            </w:r>
          </w:p>
          <w:p>
            <w:pPr/>
            <w:r>
              <w:t xml:space="preserve">2016的练习卷签名并订正错题在本子上。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/>
            <w:r/>
          </w:p>
        </w:tc>
        <w:tc>
          <w:tcPr>
            <w:tcW w:w="3969" w:type="dxa"/>
          </w:tcPr>
          <w:p>
            <w:pPr/>
            <w:r>
              <w:t xml:space="preserve">1.2号本抄写本完成（个别同学没来的抄下图框出的词语）</w:t>
            </w:r>
          </w:p>
          <w:p>
            <w:pPr/>
            <w:r>
              <w:t xml:space="preserve">2.预习下一课《日月潭》</w:t>
            </w:r>
          </w:p>
          <w:p>
            <w:pPr/>
            <w:r>
              <w:t xml:space="preserve">3.今天的卷子先订正，家长签名检查。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1.口算本20页</w:t>
            </w:r>
          </w:p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2.复习2017考卷 并签名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>
              <w:ind/>
              <w:numPr>
                <w:ilvl w:val="0"/>
                <w:numId w:val="3"/>
              </w:numPr>
              <w:spacing w:line="360" w:lineRule="auto"/>
            </w:pPr>
            <w:r>
              <w:t xml:space="preserve">预习第11课。</w:t>
            </w:r>
          </w:p>
          <w:p>
            <w:pPr>
              <w:ind/>
              <w:numPr>
                <w:ilvl w:val="0"/>
                <w:numId w:val="3"/>
              </w:numPr>
              <w:spacing w:line="360" w:lineRule="auto"/>
            </w:pPr>
            <w:r>
              <w:t xml:space="preserve">复习第10课词语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1.口算本20页</w:t>
            </w:r>
          </w:p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2.复习2017考卷 并签名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sz w:val="21"/>
                <w:rFonts w:ascii="微软雅黑" w:hAnsi="微软雅黑" w:cs="微软雅黑" w:eastAsia="微软雅黑"/>
                <w:color w:val="171A1D"/>
                <w:shd w:val="clear" w:fill="FFFFFF"/>
                <w:spacing w:val="0"/>
              </w:rPr>
              <w:t xml:space="preserve">熟练朗读P22～25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