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rFonts w:hint="eastAsia"/>
          <w:b w:val="1"/>
        </w:rPr>
        <w:t xml:space="preserve">10月26日五年级作业公示</w:t>
      </w:r>
    </w:p>
    <w:tbl>
      <w:tblPr>
        <w:tblStyle w:val="a5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rPr>
          <w:trHeight w:val="1845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1、阅读</w:t>
            </w:r>
          </w:p>
          <w:p>
            <w:pPr>
              <w:spacing w:line="360" w:lineRule="auto"/>
            </w:pPr>
            <w:r>
              <w:t xml:space="preserve">2、背诵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梳理第三单元知识点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熟练朗读P27.29.30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背熟1213课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梳理第三单元知识点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熟练朗读P27.29.30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复习背诵12.13课；读课外书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整理第三单元内容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复习Module 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复习背诵12、13课，读课外书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整理第三单元内容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复习Module2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阅读语文《学习报》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梳理第三单元知识点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复习Module2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6">
    <w:name w:val="List Paragraph"/>
    <w:basedOn w:val="a"/>
    <w:tcPr/>
    <w:pPr>
      <w:ind w:firstLine="420" w:firstLineChars="200"/>
    </w:pPr>
  </w:style>
  <w:style w:type="character" w:default="0" w:styleId="a7">
    <w:name w:val="页眉 字符"/>
    <w:basedOn w:val="a0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