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10月27日四年级作业公示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默写语文园地四16个词语，一首古诗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完成15课小卷</w:t>
            </w:r>
          </w:p>
          <w:p>
            <w:pPr>
              <w:spacing w:line="360" w:lineRule="auto"/>
            </w:pPr>
            <w:r>
              <w:t>说一说女娲拣五彩石的过程。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完成第13课小练习卷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91" w:type="dxa"/>
            <w:vAlign w:val="center"/>
          </w:tcPr>
          <w:p/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14课小练习</w:t>
            </w:r>
          </w:p>
          <w:p>
            <w:pPr>
              <w:spacing w:line="360" w:lineRule="auto"/>
            </w:pPr>
            <w:r>
              <w:t>预习15课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第14课小练习</w:t>
            </w:r>
          </w:p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预习第15课</w:t>
            </w:r>
          </w:p>
        </w:tc>
        <w:tc>
          <w:tcPr>
            <w:tcW w:w="991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91" w:type="dxa"/>
            <w:vAlign w:val="center"/>
          </w:tcPr>
          <w:p/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A13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2022-10-28T00:24:34Z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44DDA18EA58446DFBB608E5EF62274C5</vt:lpwstr>
  </property>
</Properties>
</file>