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11月1日一年级作业公示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rFonts w:eastAsiaTheme="minorEastAsia" w:hint="eastAsia"/>
              </w:rPr>
            </w:pPr>
            <w:r>
              <w:t xml:space="preserve">1、复习第11课内容，至少读2遍。</w:t>
            </w:r>
          </w:p>
          <w:p>
            <w:pPr>
              <w:widowControl w:val="1"/>
              <w:keepLines w:val="0"/>
              <w:keepNext w:val="0"/>
              <w:jc w:val="left"/>
              <w:rPr>
                <w:rFonts w:eastAsiaTheme="minorEastAsia" w:hint="eastAsia"/>
              </w:rPr>
            </w:pPr>
            <w:r>
              <w:t xml:space="preserve">2、朗读第12课今天教的内容，至少3遍。</w:t>
            </w:r>
          </w:p>
          <w:p>
            <w:pPr>
              <w:widowControl w:val="1"/>
              <w:keepLines w:val="0"/>
              <w:keepNext w:val="0"/>
              <w:jc w:val="left"/>
              <w:rPr>
                <w:rFonts w:eastAsiaTheme="minorEastAsia" w:hint="eastAsia"/>
              </w:rPr>
            </w:pPr>
            <w:r>
              <w:t xml:space="preserve">3、打乱顺序朗读第9课到第11课的复韵母和特殊韵母，亲子阅读报纸。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学习单11.1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听读课本p20-21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rPr>
                <w:sz w:val="24"/>
                <w:rFonts w:asciiTheme="majorEastAsia" w:hAnsiTheme="majorEastAsia" w:cstheme="majorEastAsia" w:eastAsiaTheme="majorEastAsia" w:hint="default"/>
              </w:rPr>
            </w:pPr>
            <w:r>
              <w:t xml:space="preserve">1、复习学过的9个复韵母的四声，能熟练读出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default"/>
              </w:rPr>
            </w:pPr>
            <w:r>
              <w:t xml:space="preserve">2、复习学过的12个整体认读音节的四声，能熟练读出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default"/>
              </w:rPr>
            </w:pPr>
            <w:r>
              <w:t xml:space="preserve">3、预习46页上的内容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学习单11.1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听读课本p20-21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1.预习《an en in un ün》</w:t>
            </w:r>
          </w:p>
          <w:p>
            <w:pPr/>
            <w:r>
              <w:t xml:space="preserve">2.拼读语文书44页上的音节。</w:t>
            </w:r>
          </w:p>
          <w:p>
            <w:pPr/>
            <w:r>
              <w:t xml:space="preserve">3.每天复习一点之前学过的拼音。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听读课本p20-21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275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>
              <w:t xml:space="preserve">1、拼读语文书44和45页上的音节、2个词语和儿歌5遍并背出《月儿弯弯》。</w:t>
            </w:r>
          </w:p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>
              <w:t xml:space="preserve">2、预习：申学上听读拼音第12课</w:t>
            </w:r>
          </w:p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1、听读18-21页课文，</w:t>
            </w:r>
          </w:p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2、预习听读22页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0" w:styleId="10">
    <w:name w:val="页脚 字符"/>
    <w:basedOn w:val="7"/>
    <w:tcPr/>
    <w:rPr>
      <w:sz w:val="18"/>
    </w:rPr>
  </w:style>
  <w:style w:type="paragraph" w:default="0" w:styleId="2">
    <w:name w:val="footer"/>
    <w:basedOn w:val="1"/>
    <w:tcPr/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paragraph" w:default="0" w:styleId="8">
    <w:name w:val="List Paragraph"/>
    <w:basedOn w:val="1"/>
    <w:tcPr/>
    <w:pPr>
      <w:ind w:firstLine="420" w:firstLineChars="200"/>
    </w:pPr>
  </w:style>
  <w:style w:type="character" w:default="0" w:styleId="9">
    <w:name w:val="页眉 字符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