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11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14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85"/>
        <w:gridCol w:w="480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预习15课</w:t>
            </w:r>
          </w:p>
          <w:p>
            <w:pPr>
              <w:spacing w:line="360" w:lineRule="auto"/>
            </w:pPr>
            <w:r>
              <w:t xml:space="preserve">复习语文园地五</w:t>
            </w:r>
          </w:p>
          <w:p>
            <w:pPr>
              <w:spacing w:line="360" w:lineRule="auto"/>
            </w:pPr>
            <w:r>
              <w:t xml:space="preserve">口答纸：语文园地五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1、复习小练习：看图编乘除法问题。</w:t>
            </w:r>
          </w:p>
          <w:p>
            <w:pPr/>
            <w:r>
              <w:t xml:space="preserve">2、书上P56-57,选择一副图，口编一道乘法、两道除数的应用题，并说出算式。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预习书pp.30~33,听录音3遍</w:t>
            </w:r>
          </w:p>
          <w:p>
            <w:pPr/>
            <w:r>
              <w:t xml:space="preserve">重背0号本上错误内容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875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1、有感情地朗读第13课。自默第13课词语。</w:t>
            </w:r>
          </w:p>
          <w:p>
            <w:pPr>
              <w:ind/>
              <w:spacing w:line="360" w:lineRule="auto"/>
            </w:pPr>
            <w:r>
              <w:t xml:space="preserve">2、完成13课小练习。</w:t>
            </w:r>
          </w:p>
          <w:p>
            <w:pPr>
              <w:ind/>
              <w:spacing w:line="360" w:lineRule="auto"/>
            </w:pPr>
            <w:r>
              <w:t xml:space="preserve">3、预习口语交际《商量》和语文园地五。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1、复习小练习：看图编乘除法问题。</w:t>
              <w:br w:type="textWrapping"/>
              <w:t xml:space="preserve">2、书上P56-57,选择一副图，口编一道乘法、两道除数的应用题，并说出算式。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预习书pp.30~33,听录音3遍</w:t>
              <w:br w:type="textWrapping"/>
              <w:t xml:space="preserve">重背0号本上错误内容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</w:pPr>
            <w:r>
              <w:t xml:space="preserve">熟读《我要的是葫芦》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</w:pPr>
            <w:r>
              <w:t xml:space="preserve">第三单元素养形成学习报未完成的补好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1、书本P56、57页，找一副图片，说一说乘法和除法的应用题。按照两个条件，一个问题来说。</w:t>
            </w:r>
          </w:p>
          <w:p>
            <w:pPr/>
            <w:r>
              <w:t xml:space="preserve">2、复习看图编乘、除法问题的小练习。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读背课文和单词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预习15课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1、书本P56、57页，找一副图片，说一说乘法和除法的应用题。按照两个条件，一个问题来说。</w:t>
            </w:r>
          </w:p>
          <w:p>
            <w:pPr/>
            <w:r>
              <w:t xml:space="preserve">2、复习看图编乘、除法问题的小练习。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1.语文园地五练习未完成的完成</w:t>
            </w:r>
          </w:p>
          <w:p>
            <w:pPr/>
            <w:r>
              <w:t xml:space="preserve">2.积累语文园地五中言语的四字词语，背古诗《江雪》</w:t>
            </w:r>
          </w:p>
          <w:p>
            <w:pPr/>
            <w:r>
              <w:t xml:space="preserve">3.预习15 八角楼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1、口算本32页 2、一张小卷子 3、口答书本P56——57页，家长点一张图并说出算式，学生编题口答，课上已讲解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1.完成小练习 2.听读书本P28-29，上传语音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阅读第12期报纸。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预习《八角楼上》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1、口算本32页</w:t>
            </w:r>
          </w:p>
          <w:p>
            <w:pPr/>
            <w:r>
              <w:t xml:space="preserve">2、一张小卷子</w:t>
            </w:r>
          </w:p>
          <w:p>
            <w:pPr/>
            <w:r>
              <w:t xml:space="preserve">3、口答书本P56——57页，家长点一张图并说出算式，学生编题口答，课上已讲解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</w:pPr>
            <w:r>
              <w:t xml:space="preserve">熟练拼读Seesaw slide swing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熟练朗读书P27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