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30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口头书面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默写第一二单元 易错词语和古诗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订正默写纸，并背诵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bookmarkStart w:id="0" w:name="_GoBack"/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口头</w:t>
            </w:r>
            <w:bookmarkEnd w:id="0"/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复习词语表字词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完成爱背卷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订正默写纸，并背诵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默写第一二单元 易错词语和古诗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订正默写纸，并背诵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复习词语表字词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完成爱背卷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订正默写纸，并背诵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口头书面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默写第一二单元 易错词语和古诗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3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订正默写纸，并背诵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D70B40"/>
    <w:rsid w:val="13E84752"/>
    <w:rsid w:val="143F5516"/>
    <w:rsid w:val="1E450DB7"/>
    <w:rsid w:val="1EE26627"/>
    <w:rsid w:val="265858E5"/>
    <w:rsid w:val="2EB9284E"/>
    <w:rsid w:val="32C8708A"/>
    <w:rsid w:val="3BFBF5AE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DBBF366"/>
    <w:rsid w:val="6EEE089B"/>
    <w:rsid w:val="73133D18"/>
    <w:rsid w:val="74EC3FD5"/>
    <w:rsid w:val="755315F2"/>
    <w:rsid w:val="79E63712"/>
    <w:rsid w:val="7A813685"/>
    <w:rsid w:val="EF5F2B45"/>
    <w:rsid w:val="FDBD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1970-01-01T08:00:00Z</dcterms:created>
  <dc:creator>DingTalk</dc:creator>
  <dc:description>DingTalk Document</dc:description>
  <cp:lastModifiedBy>Celine Chen</cp:lastModifiedBy>
  <dcterms:modified xsi:type="dcterms:W3CDTF">2024-05-30T15:25:20Z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