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undefined" w:hAnsi="undefined" w:cs="undefined"/>
                <w:sz w:val="21"/>
                <w:szCs w:val="21"/>
                <w:woUserID w:val="2"/>
              </w:rPr>
              <w:t>1.</w:t>
            </w:r>
            <w:r>
              <w:rPr>
                <w:rFonts w:hint="default" w:ascii="undefined" w:hAnsi="undefined" w:cs="undefined"/>
                <w:sz w:val="21"/>
                <w:szCs w:val="21"/>
                <w:woUserID w:val="2"/>
              </w:rPr>
              <w:t>复习第七单元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复习课本Unit5,Unit6和对应的口语纸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undefined" w:hAnsi="undefined" w:cs="undefined"/>
                <w:sz w:val="21"/>
                <w:szCs w:val="21"/>
                <w:woUserID w:val="2"/>
              </w:rPr>
              <w:t>1.复习第七单元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复习课本Unit5,Unit6和对应的口语纸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undefined" w:hAnsi="undefined" w:cs="undefined"/>
                <w:sz w:val="21"/>
                <w:szCs w:val="21"/>
                <w:woUserID w:val="2"/>
              </w:rPr>
              <w:t>1.复习第七单元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复习课本Unit5,Unit6和对应的口语纸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undefined" w:hAnsi="undefined" w:cs="undefined"/>
                <w:sz w:val="21"/>
                <w:szCs w:val="21"/>
                <w:woUserID w:val="2"/>
              </w:rPr>
              <w:t>1.复习第七单元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复习课本Unit5,Unit6和对应的口语纸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7073F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69B2B4E"/>
    <w:rsid w:val="38FF24C9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1234D4"/>
    <w:rsid w:val="504E48AC"/>
    <w:rsid w:val="50C96418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FC2350"/>
    <w:rsid w:val="6093638D"/>
    <w:rsid w:val="617C3F99"/>
    <w:rsid w:val="618C4FF5"/>
    <w:rsid w:val="620648AC"/>
    <w:rsid w:val="62A1784C"/>
    <w:rsid w:val="62C325F2"/>
    <w:rsid w:val="634C539B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C9B7F65"/>
    <w:rsid w:val="7D5BDEC5"/>
    <w:rsid w:val="7EBC5D56"/>
    <w:rsid w:val="7F417BB2"/>
    <w:rsid w:val="7F6F1509"/>
    <w:rsid w:val="AF5F5959"/>
    <w:rsid w:val="DFFD79FF"/>
    <w:rsid w:val="E1BBD880"/>
    <w:rsid w:val="FDFEBDCF"/>
    <w:rsid w:val="FDFFFD48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2024-12-25T16:43:32Z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